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F3" w:rsidRPr="00850A4D" w:rsidRDefault="0069399F">
      <w:pPr>
        <w:jc w:val="center"/>
        <w:rPr>
          <w:rFonts w:ascii="Times New Roman" w:hAnsi="Times New Roman" w:cs="Times New Roman"/>
          <w:sz w:val="28"/>
          <w:szCs w:val="28"/>
        </w:rPr>
      </w:pPr>
      <w:r w:rsidRPr="00850A4D">
        <w:rPr>
          <w:rFonts w:ascii="Times New Roman" w:hAnsi="Times New Roman" w:cs="Times New Roman"/>
          <w:sz w:val="28"/>
          <w:szCs w:val="28"/>
        </w:rPr>
        <w:t>Rapport sur la négociation – AGA de novembre 2016</w:t>
      </w:r>
    </w:p>
    <w:p w:rsidR="002303F3" w:rsidRPr="00850A4D" w:rsidRDefault="00A273DA">
      <w:pPr>
        <w:rPr>
          <w:rFonts w:ascii="Times New Roman" w:hAnsi="Times New Roman" w:cs="Times New Roman"/>
          <w:sz w:val="28"/>
          <w:szCs w:val="28"/>
        </w:rPr>
      </w:pPr>
      <w:r w:rsidRPr="00850A4D">
        <w:rPr>
          <w:rFonts w:ascii="Times New Roman" w:hAnsi="Times New Roman" w:cs="Times New Roman"/>
          <w:sz w:val="28"/>
          <w:szCs w:val="28"/>
        </w:rPr>
        <w:t>Bonsoir. On m’a demandé de faire le point sur l’état des négociations, mais avant toute chose, je crois qu’il est important de rappeler le contexte</w:t>
      </w:r>
      <w:r w:rsidR="0069399F" w:rsidRPr="00850A4D">
        <w:rPr>
          <w:rFonts w:ascii="Times New Roman" w:hAnsi="Times New Roman" w:cs="Times New Roman"/>
          <w:sz w:val="28"/>
          <w:szCs w:val="28"/>
        </w:rPr>
        <w:t>.</w:t>
      </w:r>
    </w:p>
    <w:p w:rsidR="002303F3" w:rsidRPr="00850A4D" w:rsidRDefault="00A273DA">
      <w:pPr>
        <w:rPr>
          <w:rFonts w:ascii="Times New Roman" w:hAnsi="Times New Roman" w:cs="Times New Roman"/>
          <w:sz w:val="28"/>
          <w:szCs w:val="28"/>
        </w:rPr>
      </w:pPr>
      <w:r w:rsidRPr="00850A4D">
        <w:rPr>
          <w:rFonts w:ascii="Times New Roman" w:hAnsi="Times New Roman" w:cs="Times New Roman"/>
          <w:sz w:val="28"/>
          <w:szCs w:val="28"/>
        </w:rPr>
        <w:t>L’ACEP est composée de trois groupes : les EC, les TR et les analystes de la Bibliothèque du Parlement (BP), ce qui signifie trois conventions collectives différentes, négociées indépendamment. Ces conventions ont expiré en 2014. En fait, la convention des TR a expiré le 18 avril 2014, celle des analystes de la BP</w:t>
      </w:r>
      <w:r w:rsidR="00850A4D">
        <w:rPr>
          <w:rFonts w:ascii="Times New Roman" w:hAnsi="Times New Roman" w:cs="Times New Roman"/>
          <w:sz w:val="28"/>
          <w:szCs w:val="28"/>
        </w:rPr>
        <w:t>,</w:t>
      </w:r>
      <w:r w:rsidRPr="00850A4D">
        <w:rPr>
          <w:rFonts w:ascii="Times New Roman" w:hAnsi="Times New Roman" w:cs="Times New Roman"/>
          <w:sz w:val="28"/>
          <w:szCs w:val="28"/>
        </w:rPr>
        <w:t xml:space="preserve"> le 16 juin 2014 et celle des EC</w:t>
      </w:r>
      <w:r w:rsidR="00850A4D">
        <w:rPr>
          <w:rFonts w:ascii="Times New Roman" w:hAnsi="Times New Roman" w:cs="Times New Roman"/>
          <w:sz w:val="28"/>
          <w:szCs w:val="28"/>
        </w:rPr>
        <w:t>,</w:t>
      </w:r>
      <w:r w:rsidRPr="00850A4D">
        <w:rPr>
          <w:rFonts w:ascii="Times New Roman" w:hAnsi="Times New Roman" w:cs="Times New Roman"/>
          <w:sz w:val="28"/>
          <w:szCs w:val="28"/>
        </w:rPr>
        <w:t xml:space="preserve"> le 21 juin 2014.</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 xml:space="preserve">Dans le cas de la Bibliothèque du Parlement, la convention collective est régie par </w:t>
      </w:r>
      <w:r w:rsidR="00D6213A" w:rsidRPr="00850A4D">
        <w:rPr>
          <w:rFonts w:ascii="Times New Roman" w:hAnsi="Times New Roman" w:cs="Times New Roman"/>
          <w:sz w:val="28"/>
          <w:szCs w:val="28"/>
        </w:rPr>
        <w:t xml:space="preserve">une </w:t>
      </w:r>
      <w:r w:rsidRPr="00850A4D">
        <w:rPr>
          <w:rFonts w:ascii="Times New Roman" w:hAnsi="Times New Roman" w:cs="Times New Roman"/>
          <w:sz w:val="28"/>
          <w:szCs w:val="28"/>
        </w:rPr>
        <w:t xml:space="preserve">loi différente et l’employeur n’est pas le Conseil du Trésor mais bien le Parlement. En passant, nos membres </w:t>
      </w:r>
      <w:r w:rsidR="00850A4D">
        <w:rPr>
          <w:rFonts w:ascii="Times New Roman" w:hAnsi="Times New Roman" w:cs="Times New Roman"/>
          <w:sz w:val="28"/>
          <w:szCs w:val="28"/>
        </w:rPr>
        <w:t xml:space="preserve">là-bas </w:t>
      </w:r>
      <w:r w:rsidRPr="00850A4D">
        <w:rPr>
          <w:rFonts w:ascii="Times New Roman" w:hAnsi="Times New Roman" w:cs="Times New Roman"/>
          <w:sz w:val="28"/>
          <w:szCs w:val="28"/>
        </w:rPr>
        <w:t>ont déjà une convention collective réglée par voie d’arbitrage. Les hausses salariales ont été de 1,75% en 2014, 1,5% en 2015 et 1,5% en 2016. En comparaison, le Conseil du Trésor offre présentement aux fonctionnaires 0,5% par année, pour une convention de quatre ans.</w:t>
      </w:r>
    </w:p>
    <w:p w:rsidR="002303F3" w:rsidRPr="00850A4D" w:rsidRDefault="00A273DA">
      <w:pPr>
        <w:rPr>
          <w:rFonts w:ascii="Times New Roman" w:hAnsi="Times New Roman" w:cs="Times New Roman"/>
          <w:sz w:val="28"/>
          <w:szCs w:val="28"/>
        </w:rPr>
      </w:pPr>
      <w:r w:rsidRPr="00850A4D">
        <w:rPr>
          <w:rFonts w:ascii="Times New Roman" w:hAnsi="Times New Roman" w:cs="Times New Roman"/>
          <w:sz w:val="28"/>
          <w:szCs w:val="28"/>
        </w:rPr>
        <w:t>Mais revenons à la ronde de négociations</w:t>
      </w:r>
      <w:r w:rsidR="00E8661E">
        <w:rPr>
          <w:rFonts w:ascii="Times New Roman" w:hAnsi="Times New Roman" w:cs="Times New Roman"/>
          <w:sz w:val="28"/>
          <w:szCs w:val="28"/>
        </w:rPr>
        <w:t xml:space="preserve"> en cours</w:t>
      </w:r>
      <w:r w:rsidRPr="00850A4D">
        <w:rPr>
          <w:rFonts w:ascii="Times New Roman" w:hAnsi="Times New Roman" w:cs="Times New Roman"/>
          <w:sz w:val="28"/>
          <w:szCs w:val="28"/>
        </w:rPr>
        <w:t xml:space="preserve">. Il faut se souvenir qu’avant la dernière élection fédérale, le gouvernement précédent menait une campagne </w:t>
      </w:r>
      <w:proofErr w:type="spellStart"/>
      <w:r w:rsidRPr="00850A4D">
        <w:rPr>
          <w:rFonts w:ascii="Times New Roman" w:hAnsi="Times New Roman" w:cs="Times New Roman"/>
          <w:sz w:val="28"/>
          <w:szCs w:val="28"/>
        </w:rPr>
        <w:t>anti</w:t>
      </w:r>
      <w:r w:rsidR="00054C08" w:rsidRPr="00850A4D">
        <w:rPr>
          <w:rFonts w:ascii="Times New Roman" w:hAnsi="Times New Roman" w:cs="Times New Roman"/>
          <w:sz w:val="28"/>
          <w:szCs w:val="28"/>
        </w:rPr>
        <w:noBreakHyphen/>
      </w:r>
      <w:r w:rsidRPr="00850A4D">
        <w:rPr>
          <w:rFonts w:ascii="Times New Roman" w:hAnsi="Times New Roman" w:cs="Times New Roman"/>
          <w:sz w:val="28"/>
          <w:szCs w:val="28"/>
        </w:rPr>
        <w:t>syndicale</w:t>
      </w:r>
      <w:proofErr w:type="spellEnd"/>
      <w:r w:rsidRPr="00850A4D">
        <w:rPr>
          <w:rFonts w:ascii="Times New Roman" w:hAnsi="Times New Roman" w:cs="Times New Roman"/>
          <w:sz w:val="28"/>
          <w:szCs w:val="28"/>
        </w:rPr>
        <w:t xml:space="preserve"> et anti</w:t>
      </w:r>
      <w:r w:rsidR="00D6213A" w:rsidRPr="00850A4D">
        <w:rPr>
          <w:rFonts w:ascii="Times New Roman" w:hAnsi="Times New Roman" w:cs="Times New Roman"/>
          <w:sz w:val="28"/>
          <w:szCs w:val="28"/>
        </w:rPr>
        <w:t>-</w:t>
      </w:r>
      <w:r w:rsidRPr="00850A4D">
        <w:rPr>
          <w:rFonts w:ascii="Times New Roman" w:hAnsi="Times New Roman" w:cs="Times New Roman"/>
          <w:sz w:val="28"/>
          <w:szCs w:val="28"/>
        </w:rPr>
        <w:t xml:space="preserve">fonction publique très agressive et a déposé un nombre sans précédent de projets de loi rétrogrades. </w:t>
      </w:r>
      <w:r w:rsidR="00054C08" w:rsidRPr="00850A4D">
        <w:rPr>
          <w:rFonts w:ascii="Times New Roman" w:hAnsi="Times New Roman" w:cs="Times New Roman"/>
          <w:sz w:val="28"/>
          <w:szCs w:val="28"/>
        </w:rPr>
        <w:t>L’un de ceux</w:t>
      </w:r>
      <w:r w:rsidR="00054C08" w:rsidRPr="00850A4D">
        <w:rPr>
          <w:rFonts w:ascii="Times New Roman" w:hAnsi="Times New Roman" w:cs="Times New Roman"/>
          <w:sz w:val="28"/>
          <w:szCs w:val="28"/>
        </w:rPr>
        <w:noBreakHyphen/>
        <w:t>là, le projet de loi C</w:t>
      </w:r>
      <w:r w:rsidR="00054C08" w:rsidRPr="00850A4D">
        <w:rPr>
          <w:rFonts w:ascii="Times New Roman" w:hAnsi="Times New Roman" w:cs="Times New Roman"/>
          <w:sz w:val="28"/>
          <w:szCs w:val="28"/>
        </w:rPr>
        <w:noBreakHyphen/>
        <w:t xml:space="preserve">4, nous enlevait le droit à l’arbitrage et modifiait la façon dont les négociations devaient se dérouler. Notre régime de pensions a </w:t>
      </w:r>
      <w:r w:rsidR="00E8661E">
        <w:rPr>
          <w:rFonts w:ascii="Times New Roman" w:hAnsi="Times New Roman" w:cs="Times New Roman"/>
          <w:sz w:val="28"/>
          <w:szCs w:val="28"/>
        </w:rPr>
        <w:t xml:space="preserve">également </w:t>
      </w:r>
      <w:r w:rsidR="00054C08" w:rsidRPr="00850A4D">
        <w:rPr>
          <w:rFonts w:ascii="Times New Roman" w:hAnsi="Times New Roman" w:cs="Times New Roman"/>
          <w:sz w:val="28"/>
          <w:szCs w:val="28"/>
        </w:rPr>
        <w:t>été modifié, le ratio de cotisation employeur</w:t>
      </w:r>
      <w:r w:rsidR="00054C08" w:rsidRPr="00850A4D">
        <w:rPr>
          <w:rFonts w:ascii="Times New Roman" w:hAnsi="Times New Roman" w:cs="Times New Roman"/>
          <w:sz w:val="28"/>
          <w:szCs w:val="28"/>
        </w:rPr>
        <w:noBreakHyphen/>
        <w:t>employé passant de 60/40 à 50/50; en outre, les nouveaux participants (depuis le 1</w:t>
      </w:r>
      <w:r w:rsidR="00054C08" w:rsidRPr="00850A4D">
        <w:rPr>
          <w:rFonts w:ascii="Times New Roman" w:hAnsi="Times New Roman" w:cs="Times New Roman"/>
          <w:sz w:val="28"/>
          <w:szCs w:val="28"/>
          <w:vertAlign w:val="superscript"/>
        </w:rPr>
        <w:t>er</w:t>
      </w:r>
      <w:r w:rsidR="00054C08" w:rsidRPr="00850A4D">
        <w:rPr>
          <w:rFonts w:ascii="Times New Roman" w:hAnsi="Times New Roman" w:cs="Times New Roman"/>
          <w:sz w:val="28"/>
          <w:szCs w:val="28"/>
        </w:rPr>
        <w:t xml:space="preserve"> janvier 2013) ne sont admissibles à la retraite qu’à 65 ans. Notre régime de congés de maladie devenait la prochaine cible de cette ronde.</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En outre, des rumeurs persistantes faisaient état de l’intention de l’employeur de limiter la rétroactivité à douze mois. Oui, vous avez bien entendu : peu importe la durée des négociations, un éventuel chèque de rétro ne couvrirait que douze mois de rétroactivité. Devant cette perspective, il fallait donc agir sans tarder. C’est ainsi que les appels de volontaires pour les équipes de négociation ont été lancés dès 2013 afin de pouvoir amorcer la préparation le plus longtemps à l’avance possible.</w:t>
      </w:r>
    </w:p>
    <w:p w:rsidR="002303F3" w:rsidRPr="00850A4D" w:rsidRDefault="00054C08">
      <w:pPr>
        <w:rPr>
          <w:rFonts w:ascii="Times New Roman" w:hAnsi="Times New Roman" w:cs="Times New Roman"/>
          <w:sz w:val="28"/>
          <w:szCs w:val="28"/>
        </w:rPr>
      </w:pPr>
      <w:r w:rsidRPr="00850A4D">
        <w:rPr>
          <w:rFonts w:ascii="Times New Roman" w:hAnsi="Times New Roman" w:cs="Times New Roman"/>
          <w:sz w:val="28"/>
          <w:szCs w:val="28"/>
        </w:rPr>
        <w:t>Il importe également de souligner qu’en vertu du projet de loi C</w:t>
      </w:r>
      <w:r w:rsidR="00596CC1" w:rsidRPr="00850A4D">
        <w:rPr>
          <w:rFonts w:ascii="Times New Roman" w:hAnsi="Times New Roman" w:cs="Times New Roman"/>
          <w:sz w:val="28"/>
          <w:szCs w:val="28"/>
        </w:rPr>
        <w:noBreakHyphen/>
      </w:r>
      <w:r w:rsidRPr="00850A4D">
        <w:rPr>
          <w:rFonts w:ascii="Times New Roman" w:hAnsi="Times New Roman" w:cs="Times New Roman"/>
          <w:sz w:val="28"/>
          <w:szCs w:val="28"/>
        </w:rPr>
        <w:t xml:space="preserve">4, l’employeur pouvait transmettre un avis de négociation aux syndicats </w:t>
      </w:r>
      <w:r w:rsidRPr="00850A4D">
        <w:rPr>
          <w:rFonts w:ascii="Times New Roman" w:hAnsi="Times New Roman" w:cs="Times New Roman"/>
          <w:sz w:val="28"/>
          <w:szCs w:val="28"/>
        </w:rPr>
        <w:lastRenderedPageBreak/>
        <w:t xml:space="preserve">comportant une toute nouvelle série de règles. L’employeur s’est en effet prévalu de ces règles nouvelles. En </w:t>
      </w:r>
      <w:r w:rsidR="001C193F" w:rsidRPr="00850A4D">
        <w:rPr>
          <w:rFonts w:ascii="Times New Roman" w:hAnsi="Times New Roman" w:cs="Times New Roman"/>
          <w:sz w:val="28"/>
          <w:szCs w:val="28"/>
        </w:rPr>
        <w:t xml:space="preserve">outre, </w:t>
      </w:r>
      <w:r w:rsidRPr="00850A4D">
        <w:rPr>
          <w:rFonts w:ascii="Times New Roman" w:hAnsi="Times New Roman" w:cs="Times New Roman"/>
          <w:sz w:val="28"/>
          <w:szCs w:val="28"/>
        </w:rPr>
        <w:t xml:space="preserve">un nouveau texte législatif est entré en vigueur selon lequel le gouvernement pouvait imposer son régime d’invalidité de courte durée sans négociations. De toute évidence, </w:t>
      </w:r>
      <w:r w:rsidR="00596CC1" w:rsidRPr="00850A4D">
        <w:rPr>
          <w:rFonts w:ascii="Times New Roman" w:hAnsi="Times New Roman" w:cs="Times New Roman"/>
          <w:sz w:val="28"/>
          <w:szCs w:val="28"/>
        </w:rPr>
        <w:t xml:space="preserve">notre parcours s’annonçait difficile. Les présidents des syndicats de la fonction publique fédérale se réunissaient déjà régulièrement, mais ont jugé nécessaire de renforcer cette union et créé un groupe de travail sur les négociations chargé de conclure un pacte de solidarité afin de protéger nos membres d’un gouvernement oppressif qui use de ses pouvoirs législatifs contre ses propres employés. Également, nous nous </w:t>
      </w:r>
      <w:r w:rsidR="00D6213A" w:rsidRPr="00850A4D">
        <w:rPr>
          <w:rFonts w:ascii="Times New Roman" w:hAnsi="Times New Roman" w:cs="Times New Roman"/>
          <w:sz w:val="28"/>
          <w:szCs w:val="28"/>
        </w:rPr>
        <w:t xml:space="preserve">souvenons </w:t>
      </w:r>
      <w:r w:rsidR="00596CC1" w:rsidRPr="00850A4D">
        <w:rPr>
          <w:rFonts w:ascii="Times New Roman" w:hAnsi="Times New Roman" w:cs="Times New Roman"/>
          <w:sz w:val="28"/>
          <w:szCs w:val="28"/>
        </w:rPr>
        <w:t xml:space="preserve">tous de la ronde précédente, où nous avons perdu </w:t>
      </w:r>
      <w:r w:rsidR="001C193F" w:rsidRPr="00850A4D">
        <w:rPr>
          <w:rFonts w:ascii="Times New Roman" w:hAnsi="Times New Roman" w:cs="Times New Roman"/>
          <w:sz w:val="28"/>
          <w:szCs w:val="28"/>
        </w:rPr>
        <w:t>le droit d’accumuler l</w:t>
      </w:r>
      <w:r w:rsidR="00596CC1" w:rsidRPr="00850A4D">
        <w:rPr>
          <w:rFonts w:ascii="Times New Roman" w:hAnsi="Times New Roman" w:cs="Times New Roman"/>
          <w:sz w:val="28"/>
          <w:szCs w:val="28"/>
        </w:rPr>
        <w:t xml:space="preserve">es indemnités de départ. Voilà </w:t>
      </w:r>
      <w:r w:rsidR="001C193F" w:rsidRPr="00850A4D">
        <w:rPr>
          <w:rFonts w:ascii="Times New Roman" w:hAnsi="Times New Roman" w:cs="Times New Roman"/>
          <w:sz w:val="28"/>
          <w:szCs w:val="28"/>
        </w:rPr>
        <w:t xml:space="preserve">un résultat </w:t>
      </w:r>
      <w:r w:rsidR="00596CC1" w:rsidRPr="00850A4D">
        <w:rPr>
          <w:rFonts w:ascii="Times New Roman" w:hAnsi="Times New Roman" w:cs="Times New Roman"/>
          <w:sz w:val="28"/>
          <w:szCs w:val="28"/>
        </w:rPr>
        <w:t>dont la direction de l’AFPC ne veut plus jamais être tenue responsable.</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 xml:space="preserve">Heureusement pour nous, une élection fédérale devait avoir lieu à l’automne 2015 et, avec un peu de stratégie et de chance, la négociation durerait au moins jusqu’avant la dite élection. Il serait alors étonnant qu’à l’approche d’une fin de mandat, le gouvernement utilise ses lois </w:t>
      </w:r>
      <w:proofErr w:type="spellStart"/>
      <w:r w:rsidRPr="00850A4D">
        <w:rPr>
          <w:rFonts w:ascii="Times New Roman" w:hAnsi="Times New Roman" w:cs="Times New Roman"/>
          <w:sz w:val="28"/>
          <w:szCs w:val="28"/>
        </w:rPr>
        <w:t>anti-syndicales</w:t>
      </w:r>
      <w:proofErr w:type="spellEnd"/>
      <w:r w:rsidRPr="00850A4D">
        <w:rPr>
          <w:rFonts w:ascii="Times New Roman" w:hAnsi="Times New Roman" w:cs="Times New Roman"/>
          <w:sz w:val="28"/>
          <w:szCs w:val="28"/>
        </w:rPr>
        <w:t xml:space="preserve"> pour imposer un règlement via une offre finale. Nos efforts ont finalement été récompensés. La négociation s’est poursuivie, avec de nombreuses interruptions, jusqu’à l’élection. Et, après environ dix ans de règne conservateur, les libéraux ont pris le pouvoir.</w:t>
      </w:r>
    </w:p>
    <w:p w:rsidR="002303F3" w:rsidRPr="00850A4D" w:rsidRDefault="001C193F">
      <w:pPr>
        <w:rPr>
          <w:rFonts w:ascii="Times New Roman" w:hAnsi="Times New Roman" w:cs="Times New Roman"/>
          <w:sz w:val="28"/>
          <w:szCs w:val="28"/>
        </w:rPr>
      </w:pPr>
      <w:r w:rsidRPr="00850A4D">
        <w:rPr>
          <w:rFonts w:ascii="Times New Roman" w:hAnsi="Times New Roman" w:cs="Times New Roman"/>
          <w:sz w:val="28"/>
          <w:szCs w:val="28"/>
        </w:rPr>
        <w:t>Tout le monde sait très bien qu’un nouveau gouvernement n’est pas pressé de retourner à la table des négociations lorsque ces dernières ont été interrompues par une élection. Les libéraux avaient fait des promesses très précises. Ils doivent maintenant respecter leur parole. Mais cela pourrait prendre énormément de temps, comme nous sommes à même de le constater.</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 xml:space="preserve">Pour plusieurs d’entre vous, les présentes négociations semblent interminables. Croyez-moi, pour vos équipes de négociation, vous savez ces bénévoles choisis il y a maintenant trois ans, les négociations durent depuis </w:t>
      </w:r>
      <w:proofErr w:type="gramStart"/>
      <w:r w:rsidRPr="00850A4D">
        <w:rPr>
          <w:rFonts w:ascii="Times New Roman" w:hAnsi="Times New Roman" w:cs="Times New Roman"/>
          <w:sz w:val="28"/>
          <w:szCs w:val="28"/>
        </w:rPr>
        <w:t>beaucoup</w:t>
      </w:r>
      <w:proofErr w:type="gramEnd"/>
      <w:r w:rsidRPr="00850A4D">
        <w:rPr>
          <w:rFonts w:ascii="Times New Roman" w:hAnsi="Times New Roman" w:cs="Times New Roman"/>
          <w:sz w:val="28"/>
          <w:szCs w:val="28"/>
        </w:rPr>
        <w:t xml:space="preserve"> trop longtemps. Certains facteurs sont venus s’ajouter en cours de route. Aux tables TR et EC, les négociateurs du Conseil du Trésor ont changé. Même chose pour l’ACEP. Imaginez, je suis le troisième négociateur à la table TR et le quatrième à la table EC.</w:t>
      </w:r>
    </w:p>
    <w:p w:rsidR="002303F3" w:rsidRPr="00850A4D" w:rsidRDefault="001C193F">
      <w:pPr>
        <w:rPr>
          <w:rFonts w:ascii="Times New Roman" w:hAnsi="Times New Roman" w:cs="Times New Roman"/>
          <w:sz w:val="28"/>
          <w:szCs w:val="28"/>
        </w:rPr>
      </w:pPr>
      <w:r w:rsidRPr="00850A4D">
        <w:rPr>
          <w:rFonts w:ascii="Times New Roman" w:hAnsi="Times New Roman" w:cs="Times New Roman"/>
          <w:sz w:val="28"/>
          <w:szCs w:val="28"/>
        </w:rPr>
        <w:lastRenderedPageBreak/>
        <w:t xml:space="preserve">Parmi les conditions visant à améliorer les négociations, notons le rappel des lois </w:t>
      </w:r>
      <w:proofErr w:type="spellStart"/>
      <w:r w:rsidRPr="00850A4D">
        <w:rPr>
          <w:rFonts w:ascii="Times New Roman" w:hAnsi="Times New Roman" w:cs="Times New Roman"/>
          <w:sz w:val="28"/>
          <w:szCs w:val="28"/>
        </w:rPr>
        <w:t>anti</w:t>
      </w:r>
      <w:r w:rsidRPr="00850A4D">
        <w:rPr>
          <w:rFonts w:ascii="Times New Roman" w:hAnsi="Times New Roman" w:cs="Times New Roman"/>
          <w:sz w:val="28"/>
          <w:szCs w:val="28"/>
        </w:rPr>
        <w:noBreakHyphen/>
        <w:t>syndicales</w:t>
      </w:r>
      <w:proofErr w:type="spellEnd"/>
      <w:r w:rsidRPr="00850A4D">
        <w:rPr>
          <w:rFonts w:ascii="Times New Roman" w:hAnsi="Times New Roman" w:cs="Times New Roman"/>
          <w:sz w:val="28"/>
          <w:szCs w:val="28"/>
        </w:rPr>
        <w:t xml:space="preserve"> et l’introduction de mesures intérimaires. Nous a</w:t>
      </w:r>
      <w:r w:rsidR="00E8661E">
        <w:rPr>
          <w:rFonts w:ascii="Times New Roman" w:hAnsi="Times New Roman" w:cs="Times New Roman"/>
          <w:sz w:val="28"/>
          <w:szCs w:val="28"/>
        </w:rPr>
        <w:t>vons m</w:t>
      </w:r>
      <w:r w:rsidRPr="00850A4D">
        <w:rPr>
          <w:rFonts w:ascii="Times New Roman" w:hAnsi="Times New Roman" w:cs="Times New Roman"/>
          <w:sz w:val="28"/>
          <w:szCs w:val="28"/>
        </w:rPr>
        <w:t xml:space="preserve">aintenant </w:t>
      </w:r>
      <w:r w:rsidR="00E8661E">
        <w:rPr>
          <w:rFonts w:ascii="Times New Roman" w:hAnsi="Times New Roman" w:cs="Times New Roman"/>
          <w:sz w:val="28"/>
          <w:szCs w:val="28"/>
        </w:rPr>
        <w:t xml:space="preserve">accès à </w:t>
      </w:r>
      <w:r w:rsidRPr="00850A4D">
        <w:rPr>
          <w:rFonts w:ascii="Times New Roman" w:hAnsi="Times New Roman" w:cs="Times New Roman"/>
          <w:sz w:val="28"/>
          <w:szCs w:val="28"/>
        </w:rPr>
        <w:t>un arbitrage de type « pré</w:t>
      </w:r>
      <w:r w:rsidRPr="00850A4D">
        <w:rPr>
          <w:rFonts w:ascii="Times New Roman" w:hAnsi="Times New Roman" w:cs="Times New Roman"/>
          <w:sz w:val="28"/>
          <w:szCs w:val="28"/>
        </w:rPr>
        <w:noBreakHyphen/>
        <w:t>C-4 » appelé « conciliation exécutoire ». Si nous nous retrouvons dans une impasse, les règles applicables seront celles en vigueur avant le projet de loi C</w:t>
      </w:r>
      <w:r w:rsidRPr="00850A4D">
        <w:rPr>
          <w:rFonts w:ascii="Times New Roman" w:hAnsi="Times New Roman" w:cs="Times New Roman"/>
          <w:sz w:val="28"/>
          <w:szCs w:val="28"/>
        </w:rPr>
        <w:noBreakHyphen/>
        <w:t>4.</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 xml:space="preserve">Il reste cependant </w:t>
      </w:r>
      <w:r w:rsidR="00E8661E">
        <w:rPr>
          <w:rFonts w:ascii="Times New Roman" w:hAnsi="Times New Roman" w:cs="Times New Roman"/>
          <w:sz w:val="28"/>
          <w:szCs w:val="28"/>
        </w:rPr>
        <w:t>l’</w:t>
      </w:r>
      <w:r w:rsidRPr="00850A4D">
        <w:rPr>
          <w:rFonts w:ascii="Times New Roman" w:hAnsi="Times New Roman" w:cs="Times New Roman"/>
          <w:sz w:val="28"/>
          <w:szCs w:val="28"/>
        </w:rPr>
        <w:t>éléphant d</w:t>
      </w:r>
      <w:r w:rsidR="00E8661E">
        <w:rPr>
          <w:rFonts w:ascii="Times New Roman" w:hAnsi="Times New Roman" w:cs="Times New Roman"/>
          <w:sz w:val="28"/>
          <w:szCs w:val="28"/>
        </w:rPr>
        <w:t>ont personne n’ose parler</w:t>
      </w:r>
      <w:r w:rsidRPr="00850A4D">
        <w:rPr>
          <w:rFonts w:ascii="Times New Roman" w:hAnsi="Times New Roman" w:cs="Times New Roman"/>
          <w:sz w:val="28"/>
          <w:szCs w:val="28"/>
        </w:rPr>
        <w:t> : l’intention du gouvernement demeure de «moderniser» le système de congé de maladie. Cependant, ce qui était inacceptable pour nous sous les Conservateurs, le demeure sous les Libéraux. Pour l’ACEP, comme pour les autres syndicats, le régime proposé doit être dans la convention collective; il doit être équivalent ou meilleur que le système actuel; il doit assurer le plein remplacement du salaire en cas d’absence; il doit être géré à l’interne (pas question de recréer un nouveau problème avec un fournisseur extérieur).</w:t>
      </w:r>
    </w:p>
    <w:p w:rsidR="002303F3" w:rsidRPr="00850A4D" w:rsidRDefault="00E2081A">
      <w:pPr>
        <w:rPr>
          <w:rFonts w:ascii="Times New Roman" w:hAnsi="Times New Roman" w:cs="Times New Roman"/>
          <w:sz w:val="28"/>
          <w:szCs w:val="28"/>
        </w:rPr>
      </w:pPr>
      <w:r w:rsidRPr="00850A4D">
        <w:rPr>
          <w:rFonts w:ascii="Times New Roman" w:hAnsi="Times New Roman" w:cs="Times New Roman"/>
          <w:sz w:val="28"/>
          <w:szCs w:val="28"/>
        </w:rPr>
        <w:t xml:space="preserve">Dans toute négociation, lorsque les partis s’opposent sur une question fondamentale, il faut trouver une façon d’éviter qu’elles ne perdent la face. Nous nous en approchons de plus en plus. Et pendant ce temps, nous n’avançons pas sur nos autres </w:t>
      </w:r>
      <w:r w:rsidR="00D6213A" w:rsidRPr="00850A4D">
        <w:rPr>
          <w:rFonts w:ascii="Times New Roman" w:hAnsi="Times New Roman" w:cs="Times New Roman"/>
          <w:sz w:val="28"/>
          <w:szCs w:val="28"/>
        </w:rPr>
        <w:t>priorités</w:t>
      </w:r>
      <w:r w:rsidRPr="00850A4D">
        <w:rPr>
          <w:rFonts w:ascii="Times New Roman" w:hAnsi="Times New Roman" w:cs="Times New Roman"/>
          <w:sz w:val="28"/>
          <w:szCs w:val="28"/>
        </w:rPr>
        <w:t>. L’ACEP a déposé sa proposition salariale à la table des EC et fera de même à la table des TR. Cela envoie généralement le signal à l’employeur que nous sommes prêts à donner l’impulsion finale. Sur une note positive, notons que l’employeur a retiré sa demande de limiter la période de rétroacti</w:t>
      </w:r>
      <w:r w:rsidR="00E8661E">
        <w:rPr>
          <w:rFonts w:ascii="Times New Roman" w:hAnsi="Times New Roman" w:cs="Times New Roman"/>
          <w:sz w:val="28"/>
          <w:szCs w:val="28"/>
        </w:rPr>
        <w:t>vité</w:t>
      </w:r>
      <w:bookmarkStart w:id="0" w:name="_GoBack"/>
      <w:bookmarkEnd w:id="0"/>
      <w:r w:rsidRPr="00850A4D">
        <w:rPr>
          <w:rFonts w:ascii="Times New Roman" w:hAnsi="Times New Roman" w:cs="Times New Roman"/>
          <w:sz w:val="28"/>
          <w:szCs w:val="28"/>
        </w:rPr>
        <w:t xml:space="preserve"> à douze mois.</w:t>
      </w:r>
    </w:p>
    <w:p w:rsidR="002303F3" w:rsidRPr="00850A4D" w:rsidRDefault="0069399F">
      <w:pPr>
        <w:rPr>
          <w:rFonts w:ascii="Times New Roman" w:hAnsi="Times New Roman" w:cs="Times New Roman"/>
          <w:sz w:val="28"/>
          <w:szCs w:val="28"/>
        </w:rPr>
      </w:pPr>
      <w:r w:rsidRPr="00850A4D">
        <w:rPr>
          <w:rFonts w:ascii="Times New Roman" w:hAnsi="Times New Roman" w:cs="Times New Roman"/>
          <w:sz w:val="28"/>
          <w:szCs w:val="28"/>
        </w:rPr>
        <w:t>Avant d’arriver à une entente sur les salaires, il faudra régler la question des congés de maladie. Il ne faut cependant pas oublier qu’un éventuel régime visant à protéger les employés en cas d’absence liée à une maladie ou un accident s’appliquera à l’ensemble de la fonction publique, qu’il s’agisse des employés syndiqués ou exclus. Il est donc raisonnable que l’employeur cherche une solution universelle. Parmi les pistes de solutions examinées présentement, je citerai un protocole d’entente proposé par l’Alliance de la fonction publique et une contre-proposition de l’employeur. En vertu de ces protocoles, les parties s’entendraient pour créer un comité chargé de trouver une solution acceptable pour tous avant la prochaine ronde. Les deux documents diffèrent sur la manière d’y arriver et sur les conditions à remplir. Entre temps, les banques et le régime actuel demeureraient tel quel.</w:t>
      </w:r>
    </w:p>
    <w:p w:rsidR="002303F3" w:rsidRPr="00850A4D" w:rsidRDefault="00E2081A">
      <w:pPr>
        <w:rPr>
          <w:rFonts w:ascii="Times New Roman" w:hAnsi="Times New Roman" w:cs="Times New Roman"/>
          <w:sz w:val="28"/>
          <w:szCs w:val="28"/>
        </w:rPr>
      </w:pPr>
      <w:r w:rsidRPr="00850A4D">
        <w:rPr>
          <w:rFonts w:ascii="Times New Roman" w:hAnsi="Times New Roman" w:cs="Times New Roman"/>
          <w:sz w:val="28"/>
          <w:szCs w:val="28"/>
        </w:rPr>
        <w:t xml:space="preserve">Nous n’y sommes pas encore, mais une entente conclue à la table est toujours possible, </w:t>
      </w:r>
      <w:r w:rsidR="00D6213A" w:rsidRPr="00850A4D">
        <w:rPr>
          <w:rFonts w:ascii="Times New Roman" w:hAnsi="Times New Roman" w:cs="Times New Roman"/>
          <w:sz w:val="28"/>
          <w:szCs w:val="28"/>
        </w:rPr>
        <w:t>lorsque</w:t>
      </w:r>
      <w:r w:rsidRPr="00850A4D">
        <w:rPr>
          <w:rFonts w:ascii="Times New Roman" w:hAnsi="Times New Roman" w:cs="Times New Roman"/>
          <w:sz w:val="28"/>
          <w:szCs w:val="28"/>
        </w:rPr>
        <w:t xml:space="preserve"> nous nous rencontrerons ce mois-ci pour le groupe </w:t>
      </w:r>
      <w:r w:rsidRPr="00850A4D">
        <w:rPr>
          <w:rFonts w:ascii="Times New Roman" w:hAnsi="Times New Roman" w:cs="Times New Roman"/>
          <w:sz w:val="28"/>
          <w:szCs w:val="28"/>
        </w:rPr>
        <w:lastRenderedPageBreak/>
        <w:t xml:space="preserve">EC, ou en décembre pour les TR. Il faut être patient et espérer que ce gouvernement respectera ses promesses de négocier </w:t>
      </w:r>
      <w:r w:rsidR="0087594E" w:rsidRPr="00850A4D">
        <w:rPr>
          <w:rFonts w:ascii="Times New Roman" w:hAnsi="Times New Roman" w:cs="Times New Roman"/>
          <w:sz w:val="28"/>
          <w:szCs w:val="28"/>
        </w:rPr>
        <w:t xml:space="preserve">de </w:t>
      </w:r>
      <w:r w:rsidRPr="00850A4D">
        <w:rPr>
          <w:rFonts w:ascii="Times New Roman" w:hAnsi="Times New Roman" w:cs="Times New Roman"/>
          <w:sz w:val="28"/>
          <w:szCs w:val="28"/>
        </w:rPr>
        <w:t xml:space="preserve">bonne foi avec les syndicats de la fonction publique. Pour </w:t>
      </w:r>
      <w:r w:rsidR="0087594E" w:rsidRPr="00850A4D">
        <w:rPr>
          <w:rFonts w:ascii="Times New Roman" w:hAnsi="Times New Roman" w:cs="Times New Roman"/>
          <w:sz w:val="28"/>
          <w:szCs w:val="28"/>
        </w:rPr>
        <w:t>l</w:t>
      </w:r>
      <w:r w:rsidRPr="00850A4D">
        <w:rPr>
          <w:rFonts w:ascii="Times New Roman" w:hAnsi="Times New Roman" w:cs="Times New Roman"/>
          <w:sz w:val="28"/>
          <w:szCs w:val="28"/>
        </w:rPr>
        <w:t xml:space="preserve">e moment, tous les syndicats </w:t>
      </w:r>
      <w:r w:rsidR="0087594E" w:rsidRPr="00850A4D">
        <w:rPr>
          <w:rFonts w:ascii="Times New Roman" w:hAnsi="Times New Roman" w:cs="Times New Roman"/>
          <w:sz w:val="28"/>
          <w:szCs w:val="28"/>
        </w:rPr>
        <w:t xml:space="preserve">éprouvent </w:t>
      </w:r>
      <w:r w:rsidRPr="00850A4D">
        <w:rPr>
          <w:rFonts w:ascii="Times New Roman" w:hAnsi="Times New Roman" w:cs="Times New Roman"/>
          <w:sz w:val="28"/>
          <w:szCs w:val="28"/>
        </w:rPr>
        <w:t xml:space="preserve">les mêmes problèmes et personne ne veut porter l’odieux d’être le </w:t>
      </w:r>
      <w:r w:rsidR="0087594E" w:rsidRPr="00850A4D">
        <w:rPr>
          <w:rFonts w:ascii="Times New Roman" w:hAnsi="Times New Roman" w:cs="Times New Roman"/>
          <w:sz w:val="28"/>
          <w:szCs w:val="28"/>
        </w:rPr>
        <w:t xml:space="preserve">premier </w:t>
      </w:r>
      <w:r w:rsidRPr="00850A4D">
        <w:rPr>
          <w:rFonts w:ascii="Times New Roman" w:hAnsi="Times New Roman" w:cs="Times New Roman"/>
          <w:sz w:val="28"/>
          <w:szCs w:val="28"/>
        </w:rPr>
        <w:t xml:space="preserve">à </w:t>
      </w:r>
      <w:r w:rsidR="0087594E" w:rsidRPr="00850A4D">
        <w:rPr>
          <w:rFonts w:ascii="Times New Roman" w:hAnsi="Times New Roman" w:cs="Times New Roman"/>
          <w:sz w:val="28"/>
          <w:szCs w:val="28"/>
        </w:rPr>
        <w:t xml:space="preserve">jeter l’éponge. </w:t>
      </w:r>
      <w:r w:rsidRPr="00850A4D">
        <w:rPr>
          <w:rFonts w:ascii="Times New Roman" w:hAnsi="Times New Roman" w:cs="Times New Roman"/>
          <w:sz w:val="28"/>
          <w:szCs w:val="28"/>
        </w:rPr>
        <w:t>Donnons au processu</w:t>
      </w:r>
      <w:r w:rsidR="0087594E" w:rsidRPr="00850A4D">
        <w:rPr>
          <w:rFonts w:ascii="Times New Roman" w:hAnsi="Times New Roman" w:cs="Times New Roman"/>
          <w:sz w:val="28"/>
          <w:szCs w:val="28"/>
        </w:rPr>
        <w:t>s</w:t>
      </w:r>
      <w:r w:rsidRPr="00850A4D">
        <w:rPr>
          <w:rFonts w:ascii="Times New Roman" w:hAnsi="Times New Roman" w:cs="Times New Roman"/>
          <w:sz w:val="28"/>
          <w:szCs w:val="28"/>
        </w:rPr>
        <w:t xml:space="preserve"> une dernière chance avant </w:t>
      </w:r>
      <w:r w:rsidR="0087594E" w:rsidRPr="00850A4D">
        <w:rPr>
          <w:rFonts w:ascii="Times New Roman" w:hAnsi="Times New Roman" w:cs="Times New Roman"/>
          <w:sz w:val="28"/>
          <w:szCs w:val="28"/>
        </w:rPr>
        <w:t xml:space="preserve">de baisser les bras. </w:t>
      </w:r>
    </w:p>
    <w:p w:rsidR="002303F3" w:rsidRDefault="0069399F">
      <w:r w:rsidRPr="00850A4D">
        <w:rPr>
          <w:rFonts w:ascii="Times New Roman" w:hAnsi="Times New Roman" w:cs="Times New Roman"/>
          <w:sz w:val="28"/>
          <w:szCs w:val="28"/>
        </w:rPr>
        <w:t>Merci et bonne fin de soirée!</w:t>
      </w:r>
    </w:p>
    <w:sectPr w:rsidR="002303F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E8" w:rsidRDefault="003C4EE8">
      <w:pPr>
        <w:spacing w:after="0" w:line="240" w:lineRule="auto"/>
      </w:pPr>
      <w:r>
        <w:separator/>
      </w:r>
    </w:p>
  </w:endnote>
  <w:endnote w:type="continuationSeparator" w:id="0">
    <w:p w:rsidR="003C4EE8" w:rsidRDefault="003C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Default="00D621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637230"/>
      <w:docPartObj>
        <w:docPartGallery w:val="Page Numbers (Bottom of Page)"/>
        <w:docPartUnique/>
      </w:docPartObj>
    </w:sdtPr>
    <w:sdtEndPr/>
    <w:sdtContent>
      <w:p w:rsidR="002303F3" w:rsidRDefault="0069399F">
        <w:pPr>
          <w:pStyle w:val="Pieddepage"/>
          <w:jc w:val="center"/>
        </w:pPr>
        <w:r>
          <w:fldChar w:fldCharType="begin"/>
        </w:r>
        <w:r>
          <w:instrText>PAGE</w:instrText>
        </w:r>
        <w:r>
          <w:fldChar w:fldCharType="separate"/>
        </w:r>
        <w:r w:rsidR="00E8661E">
          <w:rPr>
            <w:noProof/>
          </w:rPr>
          <w:t>4</w:t>
        </w:r>
        <w:r>
          <w:fldChar w:fldCharType="end"/>
        </w:r>
      </w:p>
    </w:sdtContent>
  </w:sdt>
  <w:p w:rsidR="002303F3" w:rsidRDefault="00230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Default="00D621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E8" w:rsidRDefault="003C4EE8">
      <w:pPr>
        <w:spacing w:after="0" w:line="240" w:lineRule="auto"/>
      </w:pPr>
      <w:r>
        <w:separator/>
      </w:r>
    </w:p>
  </w:footnote>
  <w:footnote w:type="continuationSeparator" w:id="0">
    <w:p w:rsidR="003C4EE8" w:rsidRDefault="003C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Default="00D621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Default="00D621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Default="00D621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F3"/>
    <w:rsid w:val="00054C08"/>
    <w:rsid w:val="001C193F"/>
    <w:rsid w:val="002303F3"/>
    <w:rsid w:val="003C4EE8"/>
    <w:rsid w:val="00596CC1"/>
    <w:rsid w:val="0069399F"/>
    <w:rsid w:val="00850A4D"/>
    <w:rsid w:val="0087594E"/>
    <w:rsid w:val="00A273DA"/>
    <w:rsid w:val="00C639AB"/>
    <w:rsid w:val="00D6213A"/>
    <w:rsid w:val="00E2081A"/>
    <w:rsid w:val="00E8661E"/>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5808F-9B99-4FDA-BA3C-AB96923D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43180"/>
  </w:style>
  <w:style w:type="character" w:customStyle="1" w:styleId="PieddepageCar">
    <w:name w:val="Pied de page Car"/>
    <w:basedOn w:val="Policepardfaut"/>
    <w:link w:val="Pieddepage"/>
    <w:uiPriority w:val="99"/>
    <w:qFormat/>
    <w:rsid w:val="00943180"/>
  </w:style>
  <w:style w:type="paragraph" w:customStyle="1" w:styleId="Heading">
    <w:name w:val="Heading"/>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43180"/>
    <w:pPr>
      <w:tabs>
        <w:tab w:val="center" w:pos="4320"/>
        <w:tab w:val="right" w:pos="8640"/>
      </w:tabs>
      <w:spacing w:after="0" w:line="240" w:lineRule="auto"/>
    </w:pPr>
  </w:style>
  <w:style w:type="paragraph" w:styleId="Pieddepage">
    <w:name w:val="footer"/>
    <w:basedOn w:val="Normal"/>
    <w:link w:val="PieddepageCar"/>
    <w:uiPriority w:val="99"/>
    <w:unhideWhenUsed/>
    <w:rsid w:val="00943180"/>
    <w:pPr>
      <w:tabs>
        <w:tab w:val="center" w:pos="4320"/>
        <w:tab w:val="right" w:pos="864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Poirier</dc:creator>
  <dc:description/>
  <cp:lastModifiedBy>Claude Poirier</cp:lastModifiedBy>
  <cp:revision>25</cp:revision>
  <dcterms:created xsi:type="dcterms:W3CDTF">2016-11-16T13:39:00Z</dcterms:created>
  <dcterms:modified xsi:type="dcterms:W3CDTF">2016-11-21T14:53:00Z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